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0C" w:rsidRDefault="00121F4B">
      <w:pPr>
        <w:pStyle w:val="Standard"/>
        <w:jc w:val="center"/>
        <w:rPr>
          <w:rFonts w:ascii="標楷體" w:eastAsia="標楷體" w:hAnsi="標楷體"/>
          <w:sz w:val="40"/>
          <w:szCs w:val="40"/>
        </w:rPr>
      </w:pPr>
      <w:r>
        <w:rPr>
          <w:rFonts w:ascii="標楷體" w:eastAsia="標楷體" w:hAnsi="標楷體"/>
          <w:sz w:val="40"/>
          <w:szCs w:val="40"/>
        </w:rPr>
        <w:t>性別平等教育法施行細則修正條文</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第一條</w:t>
      </w:r>
      <w:r>
        <w:rPr>
          <w:rFonts w:ascii="標楷體" w:eastAsia="標楷體" w:hAnsi="標楷體"/>
          <w:sz w:val="28"/>
          <w:szCs w:val="28"/>
        </w:rPr>
        <w:t xml:space="preserve">    </w:t>
      </w:r>
      <w:r>
        <w:rPr>
          <w:rFonts w:ascii="標楷體" w:eastAsia="標楷體" w:hAnsi="標楷體"/>
          <w:sz w:val="28"/>
          <w:szCs w:val="28"/>
        </w:rPr>
        <w:t>本細則依性別平等教育法（以下簡稱本法）第四十七條規定訂定之。</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第二條</w:t>
      </w:r>
      <w:r>
        <w:rPr>
          <w:rFonts w:ascii="標楷體" w:eastAsia="標楷體" w:hAnsi="標楷體"/>
          <w:sz w:val="28"/>
          <w:szCs w:val="28"/>
        </w:rPr>
        <w:t xml:space="preserve">    </w:t>
      </w:r>
      <w:r>
        <w:rPr>
          <w:rFonts w:ascii="標楷體" w:eastAsia="標楷體" w:hAnsi="標楷體"/>
          <w:sz w:val="28"/>
          <w:szCs w:val="28"/>
        </w:rPr>
        <w:t>本法</w:t>
      </w:r>
      <w:bookmarkStart w:id="0" w:name="_GoBack"/>
      <w:bookmarkEnd w:id="0"/>
      <w:r>
        <w:rPr>
          <w:rFonts w:ascii="標楷體" w:eastAsia="標楷體" w:hAnsi="標楷體"/>
          <w:sz w:val="28"/>
          <w:szCs w:val="28"/>
        </w:rPr>
        <w:t>第一條第一項及第三條第一款所稱性別地位之實質平等，指任何人不因其生理性別、性傾向、性別特質或性別認同等不同，而受到差別之待遇。</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本法第三條第三款所定性騷擾或性霸凌之認定，應就個案審酌事件發生之背景、工作環境、當事人之關係、行為人之言詞、行為及相對人之認知等具體事實為之。</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第三條</w:t>
      </w:r>
      <w:r>
        <w:rPr>
          <w:rFonts w:ascii="標楷體" w:eastAsia="標楷體" w:hAnsi="標楷體"/>
          <w:sz w:val="28"/>
          <w:szCs w:val="28"/>
        </w:rPr>
        <w:t xml:space="preserve">    </w:t>
      </w:r>
      <w:r>
        <w:rPr>
          <w:rFonts w:ascii="標楷體" w:eastAsia="標楷體" w:hAnsi="標楷體"/>
          <w:sz w:val="28"/>
          <w:szCs w:val="28"/>
        </w:rPr>
        <w:t>性別平等教育委員會依本法第四條第一款、第五條第一項第一款及第六條第一款規定研擬實施計畫時，其內容應包括下列事項：</w:t>
      </w:r>
    </w:p>
    <w:p w:rsidR="00A7260C" w:rsidRDefault="00121F4B">
      <w:pPr>
        <w:pStyle w:val="Standard"/>
        <w:tabs>
          <w:tab w:val="left" w:pos="2549"/>
        </w:tabs>
        <w:spacing w:line="380" w:lineRule="exact"/>
        <w:ind w:left="1429" w:hanging="577"/>
        <w:rPr>
          <w:rFonts w:ascii="標楷體" w:eastAsia="標楷體" w:hAnsi="標楷體" w:cs="Times New Roman"/>
          <w:kern w:val="0"/>
          <w:sz w:val="28"/>
          <w:szCs w:val="28"/>
        </w:rPr>
      </w:pPr>
      <w:r>
        <w:rPr>
          <w:rFonts w:ascii="標楷體" w:eastAsia="標楷體" w:hAnsi="標楷體" w:cs="Times New Roman"/>
          <w:kern w:val="0"/>
          <w:sz w:val="28"/>
          <w:szCs w:val="28"/>
        </w:rPr>
        <w:t>一、目標：評估前一年實施成效，擬定年度主題並確定未來發展方向。</w:t>
      </w:r>
    </w:p>
    <w:p w:rsidR="00A7260C" w:rsidRDefault="00121F4B">
      <w:pPr>
        <w:pStyle w:val="Standard"/>
        <w:tabs>
          <w:tab w:val="left" w:pos="2549"/>
        </w:tabs>
        <w:spacing w:line="380" w:lineRule="exact"/>
        <w:ind w:left="1429" w:hanging="577"/>
        <w:rPr>
          <w:rFonts w:ascii="標楷體" w:eastAsia="標楷體" w:hAnsi="標楷體" w:cs="Times New Roman"/>
          <w:kern w:val="0"/>
          <w:sz w:val="28"/>
          <w:szCs w:val="28"/>
        </w:rPr>
      </w:pPr>
      <w:r>
        <w:rPr>
          <w:rFonts w:ascii="標楷體" w:eastAsia="標楷體" w:hAnsi="標楷體" w:cs="Times New Roman"/>
          <w:kern w:val="0"/>
          <w:sz w:val="28"/>
          <w:szCs w:val="28"/>
        </w:rPr>
        <w:t>二、策略：內部各單位計畫或事務之統整，與相關機關（構）之合作聯繫及資源整合。</w:t>
      </w:r>
    </w:p>
    <w:p w:rsidR="00A7260C" w:rsidRDefault="00121F4B">
      <w:pPr>
        <w:pStyle w:val="Standard"/>
        <w:tabs>
          <w:tab w:val="left" w:pos="2549"/>
        </w:tabs>
        <w:spacing w:line="380" w:lineRule="exact"/>
        <w:ind w:left="1429" w:hanging="577"/>
        <w:rPr>
          <w:rFonts w:ascii="標楷體" w:eastAsia="標楷體" w:hAnsi="標楷體" w:cs="Times New Roman"/>
          <w:kern w:val="0"/>
          <w:sz w:val="28"/>
          <w:szCs w:val="28"/>
        </w:rPr>
      </w:pPr>
      <w:r>
        <w:rPr>
          <w:rFonts w:ascii="標楷體" w:eastAsia="標楷體" w:hAnsi="標楷體" w:cs="Times New Roman"/>
          <w:kern w:val="0"/>
          <w:sz w:val="28"/>
          <w:szCs w:val="28"/>
        </w:rPr>
        <w:t>三、項目：明列年度具體工作項目。</w:t>
      </w:r>
    </w:p>
    <w:p w:rsidR="00A7260C" w:rsidRDefault="00121F4B">
      <w:pPr>
        <w:pStyle w:val="Standard"/>
        <w:tabs>
          <w:tab w:val="left" w:pos="2549"/>
        </w:tabs>
        <w:spacing w:line="380" w:lineRule="exact"/>
        <w:ind w:left="1429" w:hanging="577"/>
        <w:rPr>
          <w:rFonts w:ascii="標楷體" w:eastAsia="標楷體" w:hAnsi="標楷體" w:cs="Times New Roman"/>
          <w:kern w:val="0"/>
          <w:sz w:val="28"/>
          <w:szCs w:val="28"/>
        </w:rPr>
      </w:pPr>
      <w:r>
        <w:rPr>
          <w:rFonts w:ascii="標楷體" w:eastAsia="標楷體" w:hAnsi="標楷體" w:cs="Times New Roman"/>
          <w:kern w:val="0"/>
          <w:sz w:val="28"/>
          <w:szCs w:val="28"/>
        </w:rPr>
        <w:t>四、資源：研擬經費及人力需求。</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第四條</w:t>
      </w:r>
      <w:r>
        <w:rPr>
          <w:rFonts w:ascii="標楷體" w:eastAsia="標楷體" w:hAnsi="標楷體"/>
          <w:sz w:val="28"/>
          <w:szCs w:val="28"/>
        </w:rPr>
        <w:t xml:space="preserve">    </w:t>
      </w:r>
      <w:r>
        <w:rPr>
          <w:rFonts w:ascii="標楷體" w:eastAsia="標楷體" w:hAnsi="標楷體"/>
          <w:sz w:val="28"/>
          <w:szCs w:val="28"/>
        </w:rPr>
        <w:t>性別平等教育委員會</w:t>
      </w:r>
      <w:r>
        <w:rPr>
          <w:rFonts w:ascii="標楷體" w:eastAsia="標楷體" w:hAnsi="標楷體"/>
          <w:sz w:val="28"/>
          <w:szCs w:val="28"/>
        </w:rPr>
        <w:t>依本法第四條第三款與第五條第一項第三款及主管機關依本法第十一條規定進行督導考核時，得以統合視導方式為之，並得邀請性別平等教育相關專家學者及民間團體代表參加。</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督導考核應定期為之，於半年前公告考核基準及細目，其結果並應作為統合視導評比及校務評鑑之參據。</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第五條</w:t>
      </w:r>
      <w:r>
        <w:rPr>
          <w:rFonts w:ascii="標楷體" w:eastAsia="標楷體" w:hAnsi="標楷體"/>
          <w:sz w:val="28"/>
          <w:szCs w:val="28"/>
        </w:rPr>
        <w:t xml:space="preserve">    </w:t>
      </w:r>
      <w:r>
        <w:rPr>
          <w:rFonts w:ascii="標楷體" w:eastAsia="標楷體" w:hAnsi="標楷體"/>
          <w:sz w:val="28"/>
          <w:szCs w:val="28"/>
        </w:rPr>
        <w:t>本法第四條第四款、第五條第一項第四款及第六條第三款所定課程、教學、評量之研究發展，其內容包括下列事項：</w:t>
      </w:r>
    </w:p>
    <w:p w:rsidR="00A7260C" w:rsidRDefault="00121F4B">
      <w:pPr>
        <w:pStyle w:val="Standard"/>
        <w:tabs>
          <w:tab w:val="left" w:pos="2549"/>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一、課程部分：</w:t>
      </w:r>
    </w:p>
    <w:p w:rsidR="00A7260C" w:rsidRDefault="00121F4B">
      <w:pPr>
        <w:pStyle w:val="a5"/>
        <w:numPr>
          <w:ilvl w:val="0"/>
          <w:numId w:val="12"/>
        </w:numPr>
        <w:tabs>
          <w:tab w:val="left" w:pos="3152"/>
        </w:tabs>
        <w:spacing w:line="380" w:lineRule="exact"/>
        <w:ind w:left="1876" w:hanging="648"/>
        <w:rPr>
          <w:rFonts w:ascii="標楷體" w:eastAsia="標楷體" w:hAnsi="標楷體"/>
          <w:sz w:val="28"/>
          <w:szCs w:val="28"/>
        </w:rPr>
      </w:pPr>
      <w:r>
        <w:rPr>
          <w:rFonts w:ascii="標楷體" w:eastAsia="標楷體" w:hAnsi="標楷體"/>
          <w:sz w:val="28"/>
          <w:szCs w:val="28"/>
        </w:rPr>
        <w:t>本法第十六條之教職員工之職前教育、新進人員培訓、在職進修及教育行政主管人員之儲訓課程。</w:t>
      </w:r>
    </w:p>
    <w:p w:rsidR="00A7260C" w:rsidRDefault="00121F4B">
      <w:pPr>
        <w:pStyle w:val="a5"/>
        <w:numPr>
          <w:ilvl w:val="0"/>
          <w:numId w:val="8"/>
        </w:numPr>
        <w:tabs>
          <w:tab w:val="left" w:pos="3152"/>
        </w:tabs>
        <w:spacing w:line="380" w:lineRule="exact"/>
        <w:ind w:left="1876" w:hanging="648"/>
        <w:rPr>
          <w:rFonts w:ascii="標楷體" w:eastAsia="標楷體" w:hAnsi="標楷體"/>
          <w:sz w:val="28"/>
          <w:szCs w:val="28"/>
        </w:rPr>
      </w:pPr>
      <w:r>
        <w:rPr>
          <w:rFonts w:ascii="標楷體" w:eastAsia="標楷體" w:hAnsi="標楷體"/>
          <w:sz w:val="28"/>
          <w:szCs w:val="28"/>
        </w:rPr>
        <w:t>學生依第十八條第一項所受之課程及活動。</w:t>
      </w:r>
    </w:p>
    <w:p w:rsidR="00A7260C" w:rsidRDefault="00121F4B">
      <w:pPr>
        <w:pStyle w:val="Standard"/>
        <w:tabs>
          <w:tab w:val="left" w:pos="2549"/>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二、教學部分：</w:t>
      </w:r>
    </w:p>
    <w:p w:rsidR="00A7260C" w:rsidRDefault="00121F4B">
      <w:pPr>
        <w:pStyle w:val="a5"/>
        <w:numPr>
          <w:ilvl w:val="0"/>
          <w:numId w:val="13"/>
        </w:numPr>
        <w:tabs>
          <w:tab w:val="left" w:pos="3026"/>
          <w:tab w:val="left" w:pos="3150"/>
        </w:tabs>
        <w:spacing w:line="380" w:lineRule="exact"/>
        <w:ind w:left="1876" w:hanging="648"/>
        <w:rPr>
          <w:rFonts w:ascii="標楷體" w:eastAsia="標楷體" w:hAnsi="標楷體"/>
          <w:sz w:val="28"/>
          <w:szCs w:val="28"/>
        </w:rPr>
      </w:pPr>
      <w:r>
        <w:rPr>
          <w:rFonts w:ascii="標楷體" w:eastAsia="標楷體" w:hAnsi="標楷體"/>
          <w:sz w:val="28"/>
          <w:szCs w:val="28"/>
        </w:rPr>
        <w:t>創新及開發性別平等教育相關之教學法。</w:t>
      </w:r>
    </w:p>
    <w:p w:rsidR="00A7260C" w:rsidRDefault="00121F4B">
      <w:pPr>
        <w:pStyle w:val="a5"/>
        <w:numPr>
          <w:ilvl w:val="0"/>
          <w:numId w:val="10"/>
        </w:numPr>
        <w:tabs>
          <w:tab w:val="left" w:pos="3026"/>
          <w:tab w:val="left" w:pos="3150"/>
        </w:tabs>
        <w:spacing w:line="380" w:lineRule="exact"/>
        <w:ind w:left="1876" w:hanging="648"/>
        <w:rPr>
          <w:rFonts w:ascii="標楷體" w:eastAsia="標楷體" w:hAnsi="標楷體"/>
          <w:sz w:val="28"/>
          <w:szCs w:val="28"/>
        </w:rPr>
      </w:pPr>
      <w:r>
        <w:rPr>
          <w:rFonts w:ascii="標楷體" w:eastAsia="標楷體" w:hAnsi="標楷體"/>
          <w:sz w:val="28"/>
          <w:szCs w:val="28"/>
        </w:rPr>
        <w:t>提升教師運用性別平等教育相關教學法之能力。</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lastRenderedPageBreak/>
        <w:t>三、評量部分：</w:t>
      </w:r>
    </w:p>
    <w:p w:rsidR="00A7260C" w:rsidRDefault="00121F4B">
      <w:pPr>
        <w:pStyle w:val="a5"/>
        <w:numPr>
          <w:ilvl w:val="0"/>
          <w:numId w:val="14"/>
        </w:numPr>
        <w:tabs>
          <w:tab w:val="left" w:pos="3026"/>
          <w:tab w:val="left" w:pos="3150"/>
        </w:tabs>
        <w:spacing w:line="380" w:lineRule="exact"/>
        <w:ind w:left="1876" w:hanging="648"/>
        <w:rPr>
          <w:rFonts w:ascii="標楷體" w:eastAsia="標楷體" w:hAnsi="標楷體"/>
          <w:sz w:val="28"/>
          <w:szCs w:val="28"/>
        </w:rPr>
      </w:pPr>
      <w:r>
        <w:rPr>
          <w:rFonts w:ascii="標楷體" w:eastAsia="標楷體" w:hAnsi="標楷體"/>
          <w:sz w:val="28"/>
          <w:szCs w:val="28"/>
        </w:rPr>
        <w:t>性別平等之認知、情意及實踐。</w:t>
      </w:r>
    </w:p>
    <w:p w:rsidR="00A7260C" w:rsidRDefault="00121F4B">
      <w:pPr>
        <w:pStyle w:val="a5"/>
        <w:numPr>
          <w:ilvl w:val="0"/>
          <w:numId w:val="11"/>
        </w:numPr>
        <w:tabs>
          <w:tab w:val="left" w:pos="3026"/>
          <w:tab w:val="left" w:pos="3150"/>
        </w:tabs>
        <w:spacing w:line="380" w:lineRule="exact"/>
        <w:ind w:left="1876" w:hanging="648"/>
        <w:rPr>
          <w:rFonts w:ascii="標楷體" w:eastAsia="標楷體" w:hAnsi="標楷體"/>
          <w:sz w:val="28"/>
          <w:szCs w:val="28"/>
        </w:rPr>
      </w:pPr>
      <w:r>
        <w:rPr>
          <w:rFonts w:ascii="標楷體" w:eastAsia="標楷體" w:hAnsi="標楷體"/>
          <w:sz w:val="28"/>
          <w:szCs w:val="28"/>
        </w:rPr>
        <w:t>觀察、實作、表演、口試、筆試、作業、學習歷程檔案、研究報告等多元適性評量方式。</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第六條</w:t>
      </w:r>
      <w:r>
        <w:rPr>
          <w:rFonts w:ascii="標楷體" w:eastAsia="標楷體" w:hAnsi="標楷體"/>
          <w:sz w:val="28"/>
          <w:szCs w:val="28"/>
        </w:rPr>
        <w:t xml:space="preserve">    </w:t>
      </w:r>
      <w:r>
        <w:rPr>
          <w:rFonts w:ascii="標楷體" w:eastAsia="標楷體" w:hAnsi="標楷體"/>
          <w:sz w:val="28"/>
          <w:szCs w:val="28"/>
        </w:rPr>
        <w:t>本法第四條第六款及第五條第一項第五款所定諮詢服務事項如下：</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一、協助提供性別平等教育相關書籍、期刊、論文、人才檔案、學術及民間團體等資料。</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二、協助其他性別平等教育委員會之組成及運作。</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三、協助成立性別平等教育相關研究及教學單位。</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四、提供其他有關落實本法之諮詢服務。</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第七條</w:t>
      </w:r>
      <w:r>
        <w:rPr>
          <w:rFonts w:ascii="標楷體" w:eastAsia="標楷體" w:hAnsi="標楷體"/>
          <w:sz w:val="28"/>
          <w:szCs w:val="28"/>
        </w:rPr>
        <w:t xml:space="preserve">    </w:t>
      </w:r>
      <w:r>
        <w:rPr>
          <w:rFonts w:ascii="標楷體" w:eastAsia="標楷體" w:hAnsi="標楷體"/>
          <w:sz w:val="28"/>
          <w:szCs w:val="28"/>
        </w:rPr>
        <w:t>本法第七條第一項、第八條第一項、第三項及第九條第一項所稱性別平等教育相關領域，指從事性別、性教育、多元文化議題等有關之研究、教學或實務工作。</w:t>
      </w:r>
    </w:p>
    <w:p w:rsidR="00A7260C" w:rsidRDefault="00121F4B">
      <w:pPr>
        <w:pStyle w:val="Standard"/>
        <w:spacing w:line="400" w:lineRule="exact"/>
        <w:ind w:left="840" w:hanging="840"/>
        <w:rPr>
          <w:rFonts w:ascii="標楷體" w:eastAsia="標楷體" w:hAnsi="標楷體"/>
          <w:sz w:val="28"/>
          <w:szCs w:val="28"/>
        </w:rPr>
      </w:pPr>
      <w:r>
        <w:rPr>
          <w:rFonts w:ascii="標楷體" w:eastAsia="標楷體" w:hAnsi="標楷體"/>
          <w:sz w:val="28"/>
          <w:szCs w:val="28"/>
        </w:rPr>
        <w:t>第八條</w:t>
      </w:r>
      <w:r>
        <w:rPr>
          <w:rFonts w:ascii="標楷體" w:eastAsia="標楷體" w:hAnsi="標楷體"/>
          <w:sz w:val="28"/>
          <w:szCs w:val="28"/>
        </w:rPr>
        <w:t xml:space="preserve">    </w:t>
      </w:r>
      <w:r>
        <w:rPr>
          <w:rFonts w:ascii="標楷體" w:eastAsia="標楷體" w:hAnsi="標楷體"/>
          <w:sz w:val="28"/>
          <w:szCs w:val="28"/>
        </w:rPr>
        <w:t>本法第七條第一項、第八條第一項、第三項、第九條第一項、第二十條第一項及第三十三條第三項所稱性別平等意識，指個人認同性別平等之價值，瞭解性別不平等之現象及其成因，並具有協助改善現況之意願。</w:t>
      </w:r>
    </w:p>
    <w:p w:rsidR="00A7260C" w:rsidRDefault="00121F4B">
      <w:pPr>
        <w:pStyle w:val="Standard"/>
        <w:tabs>
          <w:tab w:val="left" w:pos="2366"/>
        </w:tabs>
        <w:spacing w:line="400" w:lineRule="exact"/>
        <w:ind w:left="840" w:hanging="840"/>
        <w:rPr>
          <w:rFonts w:ascii="標楷體" w:eastAsia="標楷體" w:hAnsi="標楷體"/>
          <w:sz w:val="28"/>
          <w:szCs w:val="28"/>
        </w:rPr>
      </w:pPr>
      <w:r>
        <w:rPr>
          <w:rFonts w:ascii="標楷體" w:eastAsia="標楷體" w:hAnsi="標楷體"/>
          <w:sz w:val="28"/>
          <w:szCs w:val="28"/>
        </w:rPr>
        <w:t>第九條</w:t>
      </w:r>
      <w:r>
        <w:rPr>
          <w:rFonts w:ascii="標楷體" w:eastAsia="標楷體" w:hAnsi="標楷體"/>
          <w:sz w:val="28"/>
          <w:szCs w:val="28"/>
        </w:rPr>
        <w:t xml:space="preserve">    </w:t>
      </w:r>
      <w:r>
        <w:rPr>
          <w:rFonts w:ascii="標楷體" w:eastAsia="標楷體" w:hAnsi="標楷體"/>
          <w:sz w:val="28"/>
          <w:szCs w:val="28"/>
        </w:rPr>
        <w:t>學校依本法第十二條第一項規定建立安全之校園空間時，應就下列事項，考量其無性別偏見、安全、友善及公平分配</w:t>
      </w:r>
      <w:r>
        <w:rPr>
          <w:rFonts w:ascii="標楷體" w:eastAsia="標楷體" w:hAnsi="標楷體"/>
          <w:sz w:val="28"/>
          <w:szCs w:val="28"/>
        </w:rPr>
        <w:t>等原則：</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一、空間配置。</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二、管理及保全。</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三、標示系統、求救系統及安全路線。</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四、盥洗設施及運動設施。</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五、照明及空間視覺穿透性。</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六、其他相關事項。</w:t>
      </w:r>
    </w:p>
    <w:p w:rsidR="00A7260C" w:rsidRDefault="00121F4B">
      <w:pPr>
        <w:pStyle w:val="Standard"/>
        <w:spacing w:line="400" w:lineRule="exact"/>
        <w:ind w:left="848" w:hanging="848"/>
        <w:rPr>
          <w:rFonts w:ascii="標楷體" w:eastAsia="標楷體" w:hAnsi="標楷體"/>
          <w:sz w:val="28"/>
          <w:szCs w:val="28"/>
        </w:rPr>
      </w:pPr>
      <w:r>
        <w:rPr>
          <w:rFonts w:ascii="標楷體" w:eastAsia="標楷體" w:hAnsi="標楷體"/>
          <w:sz w:val="28"/>
          <w:szCs w:val="28"/>
        </w:rPr>
        <w:t>第十條</w:t>
      </w:r>
      <w:r>
        <w:rPr>
          <w:rFonts w:ascii="標楷體" w:eastAsia="標楷體" w:hAnsi="標楷體"/>
          <w:sz w:val="28"/>
          <w:szCs w:val="28"/>
        </w:rPr>
        <w:t xml:space="preserve">    </w:t>
      </w:r>
      <w:r>
        <w:rPr>
          <w:rFonts w:ascii="標楷體" w:eastAsia="標楷體" w:hAnsi="標楷體"/>
          <w:sz w:val="28"/>
          <w:szCs w:val="28"/>
        </w:rPr>
        <w:t>本法第十二條第二項及第二十一條第二項所定公告方式，除應張貼於學校公告欄外，並得以書面、口頭、網際網路或其他適當方式為之。</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第十一條</w:t>
      </w:r>
      <w:r>
        <w:rPr>
          <w:rFonts w:ascii="標楷體" w:eastAsia="標楷體" w:hAnsi="標楷體"/>
          <w:sz w:val="28"/>
          <w:szCs w:val="28"/>
        </w:rPr>
        <w:t xml:space="preserve">    </w:t>
      </w:r>
      <w:r>
        <w:rPr>
          <w:rFonts w:ascii="標楷體" w:eastAsia="標楷體" w:hAnsi="標楷體"/>
          <w:sz w:val="28"/>
          <w:szCs w:val="28"/>
        </w:rPr>
        <w:t>本法第十五條所定必要之協助，應包括善用校內外資源，提供懷孕或生產學生之適性教育，並採彈性措施，協助其完成學業及提供相關輔導。</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第十二條</w:t>
      </w:r>
      <w:r>
        <w:rPr>
          <w:rFonts w:ascii="標楷體" w:eastAsia="標楷體" w:hAnsi="標楷體"/>
          <w:sz w:val="28"/>
          <w:szCs w:val="28"/>
        </w:rPr>
        <w:t xml:space="preserve">    </w:t>
      </w:r>
      <w:r>
        <w:rPr>
          <w:rFonts w:ascii="標楷體" w:eastAsia="標楷體" w:hAnsi="標楷體"/>
          <w:sz w:val="28"/>
          <w:szCs w:val="28"/>
        </w:rPr>
        <w:t>本法第十七條所稱學校之考績委員會，指為辦理學校教職員工成績考核而組成之委員會。但公立學校，指以教師為考核範圍之委員會為限。</w:t>
      </w:r>
    </w:p>
    <w:p w:rsidR="00A7260C" w:rsidRDefault="00121F4B">
      <w:pPr>
        <w:pStyle w:val="Standard"/>
        <w:spacing w:line="400" w:lineRule="exact"/>
        <w:ind w:left="1134" w:hanging="1134"/>
      </w:pPr>
      <w:r>
        <w:rPr>
          <w:rFonts w:ascii="標楷體" w:eastAsia="標楷體" w:hAnsi="標楷體"/>
          <w:sz w:val="28"/>
          <w:szCs w:val="28"/>
        </w:rPr>
        <w:t xml:space="preserve">            </w:t>
      </w:r>
      <w:r>
        <w:rPr>
          <w:rFonts w:ascii="標楷體" w:eastAsia="標楷體" w:hAnsi="標楷體"/>
          <w:sz w:val="28"/>
          <w:szCs w:val="28"/>
        </w:rPr>
        <w:t>本法第十七條所稱學校之教師評審委員會，指校級之委員會。</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第十三條</w:t>
      </w:r>
      <w:r>
        <w:rPr>
          <w:rFonts w:ascii="標楷體" w:eastAsia="標楷體" w:hAnsi="標楷體"/>
          <w:sz w:val="28"/>
          <w:szCs w:val="28"/>
        </w:rPr>
        <w:t xml:space="preserve">    </w:t>
      </w:r>
      <w:r>
        <w:rPr>
          <w:rFonts w:ascii="標楷體" w:eastAsia="標楷體" w:hAnsi="標楷體"/>
          <w:sz w:val="28"/>
          <w:szCs w:val="28"/>
        </w:rPr>
        <w:t>本法第十八條第二項所定性別平等教育相關課程，應涵蓋情感教育、性教育、認識及尊重不同性別、性別特徵、性別特質、性別認同、性傾向教育，及性侵害、性騷擾、性霸凌防治教育等課程，以提升學生之性別平等意識。</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第十四條</w:t>
      </w:r>
      <w:r>
        <w:rPr>
          <w:rFonts w:ascii="標楷體" w:eastAsia="標楷體" w:hAnsi="標楷體"/>
          <w:sz w:val="28"/>
          <w:szCs w:val="28"/>
        </w:rPr>
        <w:t xml:space="preserve">    </w:t>
      </w:r>
      <w:r>
        <w:rPr>
          <w:rFonts w:ascii="標楷體" w:eastAsia="標楷體" w:hAnsi="標楷體"/>
          <w:sz w:val="28"/>
          <w:szCs w:val="28"/>
        </w:rPr>
        <w:t>為執行本法第十九條規定，高級中等以下學校教材之編寫、審查及選用，應由有性別平等</w:t>
      </w:r>
      <w:r>
        <w:rPr>
          <w:rFonts w:ascii="標楷體" w:eastAsia="標楷體" w:hAnsi="標楷體"/>
          <w:sz w:val="28"/>
          <w:szCs w:val="28"/>
        </w:rPr>
        <w:t>意識之教師參與；教材內容並應破除性別刻板印象，避免性別偏見及性別歧視，呈現性別平等及多元之價值。</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第十五條</w:t>
      </w:r>
      <w:r>
        <w:rPr>
          <w:rFonts w:ascii="標楷體" w:eastAsia="標楷體" w:hAnsi="標楷體"/>
          <w:sz w:val="28"/>
          <w:szCs w:val="28"/>
        </w:rPr>
        <w:t xml:space="preserve">    </w:t>
      </w:r>
      <w:r>
        <w:rPr>
          <w:rFonts w:ascii="標楷體" w:eastAsia="標楷體" w:hAnsi="標楷體"/>
          <w:sz w:val="28"/>
          <w:szCs w:val="28"/>
        </w:rPr>
        <w:t>教師為執行本法第二十條第二項鼓勵學生修習非傳統性別之學科領域，應於輔導學生修習課程、選擇科系或探索生涯發展時，鼓勵學生適性多元發展，避免將特定學科性別化。</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第十六條</w:t>
      </w:r>
      <w:r>
        <w:rPr>
          <w:rFonts w:ascii="標楷體" w:eastAsia="標楷體" w:hAnsi="標楷體"/>
          <w:sz w:val="28"/>
          <w:szCs w:val="28"/>
        </w:rPr>
        <w:t xml:space="preserve">    </w:t>
      </w:r>
      <w:r>
        <w:rPr>
          <w:rFonts w:ascii="標楷體" w:eastAsia="標楷體" w:hAnsi="標楷體"/>
          <w:sz w:val="28"/>
          <w:szCs w:val="28"/>
        </w:rPr>
        <w:t>本法第三十四條第二項所稱雙方當事人之權力差距，指當事人雙方間存在之地位、知識、年齡、體力、身分、族群或資源之不對等狀況。</w:t>
      </w:r>
    </w:p>
    <w:p w:rsidR="00A7260C" w:rsidRDefault="00121F4B">
      <w:pPr>
        <w:pStyle w:val="Standard"/>
        <w:spacing w:line="400" w:lineRule="exact"/>
        <w:ind w:left="1134" w:hanging="1134"/>
        <w:rPr>
          <w:rFonts w:ascii="標楷體" w:eastAsia="標楷體" w:hAnsi="標楷體"/>
          <w:sz w:val="28"/>
          <w:szCs w:val="28"/>
        </w:rPr>
      </w:pPr>
      <w:r>
        <w:rPr>
          <w:rFonts w:ascii="標楷體" w:eastAsia="標楷體" w:hAnsi="標楷體"/>
          <w:sz w:val="28"/>
          <w:szCs w:val="28"/>
        </w:rPr>
        <w:t>第十七條</w:t>
      </w:r>
      <w:r>
        <w:rPr>
          <w:rFonts w:ascii="標楷體" w:eastAsia="標楷體" w:hAnsi="標楷體"/>
          <w:sz w:val="28"/>
          <w:szCs w:val="28"/>
        </w:rPr>
        <w:t xml:space="preserve">    </w:t>
      </w:r>
      <w:r>
        <w:rPr>
          <w:rFonts w:ascii="標楷體" w:eastAsia="標楷體" w:hAnsi="標楷體"/>
          <w:sz w:val="28"/>
          <w:szCs w:val="28"/>
        </w:rPr>
        <w:t>性別平等教育委員會依本法第三十六條第二項規定提出報告，其內容應包括下列事項：</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一、申請調查事件之案由，包括當事人或檢舉之敘述。</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二、調查訪談過程紀錄，包括日期及對象。</w:t>
      </w:r>
    </w:p>
    <w:p w:rsidR="00A7260C" w:rsidRDefault="00121F4B">
      <w:pPr>
        <w:pStyle w:val="Standard"/>
        <w:tabs>
          <w:tab w:val="left" w:pos="2798"/>
          <w:tab w:val="left" w:pos="2940"/>
        </w:tabs>
        <w:spacing w:line="380" w:lineRule="exact"/>
        <w:ind w:left="1664" w:hanging="81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三、被申請調查人、申請調查人、證人與相關人士之陳述及答辯。</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四、相關物證之查驗。</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五、事實認定及理由。</w:t>
      </w:r>
    </w:p>
    <w:p w:rsidR="00A7260C" w:rsidRDefault="00121F4B">
      <w:pPr>
        <w:pStyle w:val="Standard"/>
        <w:tabs>
          <w:tab w:val="left" w:pos="2563"/>
          <w:tab w:val="left" w:pos="2705"/>
        </w:tabs>
        <w:spacing w:line="380" w:lineRule="exact"/>
        <w:ind w:left="1429" w:hanging="57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六、處理建議。</w:t>
      </w:r>
    </w:p>
    <w:p w:rsidR="00A7260C" w:rsidRDefault="00121F4B">
      <w:pPr>
        <w:pStyle w:val="Standard"/>
        <w:spacing w:line="400" w:lineRule="exact"/>
        <w:ind w:left="1134" w:hanging="1134"/>
      </w:pPr>
      <w:r>
        <w:rPr>
          <w:rFonts w:ascii="標楷體" w:eastAsia="標楷體" w:hAnsi="標楷體"/>
          <w:sz w:val="28"/>
          <w:szCs w:val="28"/>
        </w:rPr>
        <w:t>第十八條</w:t>
      </w:r>
      <w:r>
        <w:rPr>
          <w:rFonts w:ascii="標楷體" w:eastAsia="標楷體" w:hAnsi="標楷體"/>
          <w:sz w:val="28"/>
          <w:szCs w:val="28"/>
        </w:rPr>
        <w:t xml:space="preserve">    </w:t>
      </w:r>
      <w:r>
        <w:rPr>
          <w:rFonts w:ascii="標楷體" w:eastAsia="標楷體" w:hAnsi="標楷體"/>
          <w:sz w:val="28"/>
          <w:szCs w:val="28"/>
        </w:rPr>
        <w:t>本細則除第七條、第八條及第十條自中華民國一百十三年三月八日施行外，自發布日施行。</w:t>
      </w:r>
    </w:p>
    <w:sectPr w:rsidR="00A7260C">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F4B" w:rsidRDefault="00121F4B">
      <w:r>
        <w:separator/>
      </w:r>
    </w:p>
  </w:endnote>
  <w:endnote w:type="continuationSeparator" w:id="0">
    <w:p w:rsidR="00121F4B" w:rsidRDefault="0012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F4B" w:rsidRDefault="00121F4B">
      <w:r>
        <w:rPr>
          <w:color w:val="000000"/>
        </w:rPr>
        <w:separator/>
      </w:r>
    </w:p>
  </w:footnote>
  <w:footnote w:type="continuationSeparator" w:id="0">
    <w:p w:rsidR="00121F4B" w:rsidRDefault="00121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5B6"/>
    <w:multiLevelType w:val="multilevel"/>
    <w:tmpl w:val="FAC61050"/>
    <w:styleLink w:val="WWNum2"/>
    <w:lvl w:ilvl="0">
      <w:start w:val="1"/>
      <w:numFmt w:val="japaneseCounting"/>
      <w:lvlText w:val="%1、"/>
      <w:lvlJc w:val="left"/>
      <w:pPr>
        <w:ind w:left="745" w:hanging="510"/>
      </w:pPr>
    </w:lvl>
    <w:lvl w:ilvl="1">
      <w:start w:val="1"/>
      <w:numFmt w:val="ideographTraditional"/>
      <w:lvlText w:val="%1.%2、"/>
      <w:lvlJc w:val="left"/>
      <w:pPr>
        <w:ind w:left="1195" w:hanging="480"/>
      </w:pPr>
    </w:lvl>
    <w:lvl w:ilvl="2">
      <w:start w:val="1"/>
      <w:numFmt w:val="lowerRoman"/>
      <w:lvlText w:val="%1.%2.%3."/>
      <w:lvlJc w:val="right"/>
      <w:pPr>
        <w:ind w:left="1675" w:hanging="480"/>
      </w:pPr>
    </w:lvl>
    <w:lvl w:ilvl="3">
      <w:start w:val="1"/>
      <w:numFmt w:val="decimal"/>
      <w:lvlText w:val="%1.%2.%3.%4."/>
      <w:lvlJc w:val="left"/>
      <w:pPr>
        <w:ind w:left="2155" w:hanging="480"/>
      </w:pPr>
    </w:lvl>
    <w:lvl w:ilvl="4">
      <w:start w:val="1"/>
      <w:numFmt w:val="ideographTraditional"/>
      <w:lvlText w:val="%1.%2.%3.%4.%5、"/>
      <w:lvlJc w:val="left"/>
      <w:pPr>
        <w:ind w:left="2635" w:hanging="480"/>
      </w:pPr>
    </w:lvl>
    <w:lvl w:ilvl="5">
      <w:start w:val="1"/>
      <w:numFmt w:val="lowerRoman"/>
      <w:lvlText w:val="%1.%2.%3.%4.%5.%6."/>
      <w:lvlJc w:val="right"/>
      <w:pPr>
        <w:ind w:left="3115" w:hanging="480"/>
      </w:pPr>
    </w:lvl>
    <w:lvl w:ilvl="6">
      <w:start w:val="1"/>
      <w:numFmt w:val="decimal"/>
      <w:lvlText w:val="%1.%2.%3.%4.%5.%6.%7."/>
      <w:lvlJc w:val="left"/>
      <w:pPr>
        <w:ind w:left="3595" w:hanging="480"/>
      </w:pPr>
    </w:lvl>
    <w:lvl w:ilvl="7">
      <w:start w:val="1"/>
      <w:numFmt w:val="ideographTraditional"/>
      <w:lvlText w:val="%1.%2.%3.%4.%5.%6.%7.%8、"/>
      <w:lvlJc w:val="left"/>
      <w:pPr>
        <w:ind w:left="4075" w:hanging="480"/>
      </w:pPr>
    </w:lvl>
    <w:lvl w:ilvl="8">
      <w:start w:val="1"/>
      <w:numFmt w:val="lowerRoman"/>
      <w:lvlText w:val="%1.%2.%3.%4.%5.%6.%7.%8.%9."/>
      <w:lvlJc w:val="right"/>
      <w:pPr>
        <w:ind w:left="4555" w:hanging="480"/>
      </w:pPr>
    </w:lvl>
  </w:abstractNum>
  <w:abstractNum w:abstractNumId="1" w15:restartNumberingAfterBreak="0">
    <w:nsid w:val="14C04342"/>
    <w:multiLevelType w:val="multilevel"/>
    <w:tmpl w:val="E828E062"/>
    <w:styleLink w:val="WWNum3"/>
    <w:lvl w:ilvl="0">
      <w:start w:val="5"/>
      <w:numFmt w:val="japaneseCounting"/>
      <w:lvlText w:val="%1、"/>
      <w:lvlJc w:val="left"/>
      <w:pPr>
        <w:ind w:left="1471" w:hanging="48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 w15:restartNumberingAfterBreak="0">
    <w:nsid w:val="18F35F14"/>
    <w:multiLevelType w:val="multilevel"/>
    <w:tmpl w:val="75301DF0"/>
    <w:styleLink w:val="WWNum6"/>
    <w:lvl w:ilvl="0">
      <w:start w:val="4"/>
      <w:numFmt w:val="japaneseCounting"/>
      <w:lvlText w:val="%1、"/>
      <w:lvlJc w:val="left"/>
      <w:pPr>
        <w:ind w:left="1907" w:hanging="720"/>
      </w:pPr>
    </w:lvl>
    <w:lvl w:ilvl="1">
      <w:start w:val="1"/>
      <w:numFmt w:val="ideographTraditional"/>
      <w:lvlText w:val="%1.%2、"/>
      <w:lvlJc w:val="left"/>
      <w:pPr>
        <w:ind w:left="2147" w:hanging="480"/>
      </w:pPr>
    </w:lvl>
    <w:lvl w:ilvl="2">
      <w:start w:val="1"/>
      <w:numFmt w:val="lowerRoman"/>
      <w:lvlText w:val="%1.%2.%3."/>
      <w:lvlJc w:val="right"/>
      <w:pPr>
        <w:ind w:left="2627" w:hanging="480"/>
      </w:pPr>
    </w:lvl>
    <w:lvl w:ilvl="3">
      <w:start w:val="1"/>
      <w:numFmt w:val="decimal"/>
      <w:lvlText w:val="%1.%2.%3.%4."/>
      <w:lvlJc w:val="left"/>
      <w:pPr>
        <w:ind w:left="3107" w:hanging="480"/>
      </w:pPr>
    </w:lvl>
    <w:lvl w:ilvl="4">
      <w:start w:val="1"/>
      <w:numFmt w:val="ideographTraditional"/>
      <w:lvlText w:val="%1.%2.%3.%4.%5、"/>
      <w:lvlJc w:val="left"/>
      <w:pPr>
        <w:ind w:left="3587" w:hanging="480"/>
      </w:pPr>
    </w:lvl>
    <w:lvl w:ilvl="5">
      <w:start w:val="1"/>
      <w:numFmt w:val="lowerRoman"/>
      <w:lvlText w:val="%1.%2.%3.%4.%5.%6."/>
      <w:lvlJc w:val="right"/>
      <w:pPr>
        <w:ind w:left="4067" w:hanging="480"/>
      </w:pPr>
    </w:lvl>
    <w:lvl w:ilvl="6">
      <w:start w:val="1"/>
      <w:numFmt w:val="decimal"/>
      <w:lvlText w:val="%1.%2.%3.%4.%5.%6.%7."/>
      <w:lvlJc w:val="left"/>
      <w:pPr>
        <w:ind w:left="4547" w:hanging="480"/>
      </w:pPr>
    </w:lvl>
    <w:lvl w:ilvl="7">
      <w:start w:val="1"/>
      <w:numFmt w:val="ideographTraditional"/>
      <w:lvlText w:val="%1.%2.%3.%4.%5.%6.%7.%8、"/>
      <w:lvlJc w:val="left"/>
      <w:pPr>
        <w:ind w:left="5027" w:hanging="480"/>
      </w:pPr>
    </w:lvl>
    <w:lvl w:ilvl="8">
      <w:start w:val="1"/>
      <w:numFmt w:val="lowerRoman"/>
      <w:lvlText w:val="%1.%2.%3.%4.%5.%6.%7.%8.%9."/>
      <w:lvlJc w:val="right"/>
      <w:pPr>
        <w:ind w:left="5507" w:hanging="480"/>
      </w:pPr>
    </w:lvl>
  </w:abstractNum>
  <w:abstractNum w:abstractNumId="3" w15:restartNumberingAfterBreak="0">
    <w:nsid w:val="1D6E4178"/>
    <w:multiLevelType w:val="multilevel"/>
    <w:tmpl w:val="AAE47E62"/>
    <w:styleLink w:val="WWNum1"/>
    <w:lvl w:ilvl="0">
      <w:start w:val="1"/>
      <w:numFmt w:val="japaneseCounting"/>
      <w:lvlText w:val="第%1條"/>
      <w:lvlJc w:val="left"/>
      <w:pPr>
        <w:ind w:left="960" w:hanging="960"/>
      </w:pPr>
      <w:rPr>
        <w:rFonts w:ascii="標楷體" w:eastAsia="標楷體" w:hAnsi="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DAE6485"/>
    <w:multiLevelType w:val="multilevel"/>
    <w:tmpl w:val="0C7AF25E"/>
    <w:styleLink w:val="WWNum9"/>
    <w:lvl w:ilvl="0">
      <w:start w:val="1"/>
      <w:numFmt w:val="japaneseCounting"/>
      <w:lvlText w:val="(%1)"/>
      <w:lvlJc w:val="left"/>
      <w:pPr>
        <w:ind w:left="1630" w:hanging="480"/>
      </w:pPr>
    </w:lvl>
    <w:lvl w:ilvl="1">
      <w:start w:val="1"/>
      <w:numFmt w:val="ideographTraditional"/>
      <w:lvlText w:val="%1.%2、"/>
      <w:lvlJc w:val="left"/>
      <w:pPr>
        <w:ind w:left="2110" w:hanging="480"/>
      </w:pPr>
    </w:lvl>
    <w:lvl w:ilvl="2">
      <w:start w:val="1"/>
      <w:numFmt w:val="lowerRoman"/>
      <w:lvlText w:val="%1.%2.%3."/>
      <w:lvlJc w:val="right"/>
      <w:pPr>
        <w:ind w:left="2590" w:hanging="480"/>
      </w:pPr>
    </w:lvl>
    <w:lvl w:ilvl="3">
      <w:start w:val="1"/>
      <w:numFmt w:val="decimal"/>
      <w:lvlText w:val="%1.%2.%3.%4."/>
      <w:lvlJc w:val="left"/>
      <w:pPr>
        <w:ind w:left="3070" w:hanging="480"/>
      </w:pPr>
    </w:lvl>
    <w:lvl w:ilvl="4">
      <w:start w:val="1"/>
      <w:numFmt w:val="ideographTraditional"/>
      <w:lvlText w:val="%1.%2.%3.%4.%5、"/>
      <w:lvlJc w:val="left"/>
      <w:pPr>
        <w:ind w:left="3550" w:hanging="480"/>
      </w:pPr>
    </w:lvl>
    <w:lvl w:ilvl="5">
      <w:start w:val="1"/>
      <w:numFmt w:val="lowerRoman"/>
      <w:lvlText w:val="%1.%2.%3.%4.%5.%6."/>
      <w:lvlJc w:val="right"/>
      <w:pPr>
        <w:ind w:left="4030" w:hanging="480"/>
      </w:pPr>
    </w:lvl>
    <w:lvl w:ilvl="6">
      <w:start w:val="1"/>
      <w:numFmt w:val="decimal"/>
      <w:lvlText w:val="%1.%2.%3.%4.%5.%6.%7."/>
      <w:lvlJc w:val="left"/>
      <w:pPr>
        <w:ind w:left="4510" w:hanging="480"/>
      </w:pPr>
    </w:lvl>
    <w:lvl w:ilvl="7">
      <w:start w:val="1"/>
      <w:numFmt w:val="ideographTraditional"/>
      <w:lvlText w:val="%1.%2.%3.%4.%5.%6.%7.%8、"/>
      <w:lvlJc w:val="left"/>
      <w:pPr>
        <w:ind w:left="4990" w:hanging="480"/>
      </w:pPr>
    </w:lvl>
    <w:lvl w:ilvl="8">
      <w:start w:val="1"/>
      <w:numFmt w:val="lowerRoman"/>
      <w:lvlText w:val="%1.%2.%3.%4.%5.%6.%7.%8.%9."/>
      <w:lvlJc w:val="right"/>
      <w:pPr>
        <w:ind w:left="5470" w:hanging="480"/>
      </w:pPr>
    </w:lvl>
  </w:abstractNum>
  <w:abstractNum w:abstractNumId="5" w15:restartNumberingAfterBreak="0">
    <w:nsid w:val="369C4554"/>
    <w:multiLevelType w:val="multilevel"/>
    <w:tmpl w:val="CFB4BAAE"/>
    <w:styleLink w:val="WWNum5"/>
    <w:lvl w:ilvl="0">
      <w:start w:val="4"/>
      <w:numFmt w:val="japaneseCounting"/>
      <w:lvlText w:val="%1、"/>
      <w:lvlJc w:val="left"/>
      <w:pPr>
        <w:ind w:left="1711" w:hanging="72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6" w15:restartNumberingAfterBreak="0">
    <w:nsid w:val="4AA011A6"/>
    <w:multiLevelType w:val="multilevel"/>
    <w:tmpl w:val="90FA5110"/>
    <w:styleLink w:val="WWNum4"/>
    <w:lvl w:ilvl="0">
      <w:start w:val="6"/>
      <w:numFmt w:val="japaneseCounting"/>
      <w:lvlText w:val="%1、"/>
      <w:lvlJc w:val="left"/>
      <w:pPr>
        <w:ind w:left="1768" w:hanging="480"/>
      </w:pPr>
    </w:lvl>
    <w:lvl w:ilvl="1">
      <w:start w:val="1"/>
      <w:numFmt w:val="ideographTraditional"/>
      <w:lvlText w:val="%1.%2、"/>
      <w:lvlJc w:val="left"/>
      <w:pPr>
        <w:ind w:left="2248" w:hanging="480"/>
      </w:pPr>
    </w:lvl>
    <w:lvl w:ilvl="2">
      <w:start w:val="1"/>
      <w:numFmt w:val="lowerRoman"/>
      <w:lvlText w:val="%1.%2.%3."/>
      <w:lvlJc w:val="right"/>
      <w:pPr>
        <w:ind w:left="2728" w:hanging="480"/>
      </w:pPr>
    </w:lvl>
    <w:lvl w:ilvl="3">
      <w:start w:val="1"/>
      <w:numFmt w:val="decimal"/>
      <w:lvlText w:val="%1.%2.%3.%4."/>
      <w:lvlJc w:val="left"/>
      <w:pPr>
        <w:ind w:left="3208" w:hanging="480"/>
      </w:pPr>
    </w:lvl>
    <w:lvl w:ilvl="4">
      <w:start w:val="1"/>
      <w:numFmt w:val="ideographTraditional"/>
      <w:lvlText w:val="%1.%2.%3.%4.%5、"/>
      <w:lvlJc w:val="left"/>
      <w:pPr>
        <w:ind w:left="3688" w:hanging="480"/>
      </w:pPr>
    </w:lvl>
    <w:lvl w:ilvl="5">
      <w:start w:val="1"/>
      <w:numFmt w:val="lowerRoman"/>
      <w:lvlText w:val="%1.%2.%3.%4.%5.%6."/>
      <w:lvlJc w:val="right"/>
      <w:pPr>
        <w:ind w:left="4168" w:hanging="480"/>
      </w:pPr>
    </w:lvl>
    <w:lvl w:ilvl="6">
      <w:start w:val="1"/>
      <w:numFmt w:val="decimal"/>
      <w:lvlText w:val="%1.%2.%3.%4.%5.%6.%7."/>
      <w:lvlJc w:val="left"/>
      <w:pPr>
        <w:ind w:left="4648" w:hanging="480"/>
      </w:pPr>
    </w:lvl>
    <w:lvl w:ilvl="7">
      <w:start w:val="1"/>
      <w:numFmt w:val="ideographTraditional"/>
      <w:lvlText w:val="%1.%2.%3.%4.%5.%6.%7.%8、"/>
      <w:lvlJc w:val="left"/>
      <w:pPr>
        <w:ind w:left="5128" w:hanging="480"/>
      </w:pPr>
    </w:lvl>
    <w:lvl w:ilvl="8">
      <w:start w:val="1"/>
      <w:numFmt w:val="lowerRoman"/>
      <w:lvlText w:val="%1.%2.%3.%4.%5.%6.%7.%8.%9."/>
      <w:lvlJc w:val="right"/>
      <w:pPr>
        <w:ind w:left="5608" w:hanging="480"/>
      </w:pPr>
    </w:lvl>
  </w:abstractNum>
  <w:abstractNum w:abstractNumId="7" w15:restartNumberingAfterBreak="0">
    <w:nsid w:val="4CE707B4"/>
    <w:multiLevelType w:val="multilevel"/>
    <w:tmpl w:val="4FEECD42"/>
    <w:styleLink w:val="WWNum10"/>
    <w:lvl w:ilvl="0">
      <w:start w:val="1"/>
      <w:numFmt w:val="japaneseCounting"/>
      <w:lvlText w:val="(%1)"/>
      <w:lvlJc w:val="left"/>
      <w:pPr>
        <w:ind w:left="1630" w:hanging="480"/>
      </w:pPr>
    </w:lvl>
    <w:lvl w:ilvl="1">
      <w:start w:val="1"/>
      <w:numFmt w:val="ideographTraditional"/>
      <w:lvlText w:val="%1.%2、"/>
      <w:lvlJc w:val="left"/>
      <w:pPr>
        <w:ind w:left="2110" w:hanging="480"/>
      </w:pPr>
    </w:lvl>
    <w:lvl w:ilvl="2">
      <w:start w:val="1"/>
      <w:numFmt w:val="lowerRoman"/>
      <w:lvlText w:val="%1.%2.%3."/>
      <w:lvlJc w:val="right"/>
      <w:pPr>
        <w:ind w:left="2590" w:hanging="480"/>
      </w:pPr>
    </w:lvl>
    <w:lvl w:ilvl="3">
      <w:start w:val="1"/>
      <w:numFmt w:val="decimal"/>
      <w:lvlText w:val="%1.%2.%3.%4."/>
      <w:lvlJc w:val="left"/>
      <w:pPr>
        <w:ind w:left="3070" w:hanging="480"/>
      </w:pPr>
    </w:lvl>
    <w:lvl w:ilvl="4">
      <w:start w:val="1"/>
      <w:numFmt w:val="ideographTraditional"/>
      <w:lvlText w:val="%1.%2.%3.%4.%5、"/>
      <w:lvlJc w:val="left"/>
      <w:pPr>
        <w:ind w:left="3550" w:hanging="480"/>
      </w:pPr>
    </w:lvl>
    <w:lvl w:ilvl="5">
      <w:start w:val="1"/>
      <w:numFmt w:val="lowerRoman"/>
      <w:lvlText w:val="%1.%2.%3.%4.%5.%6."/>
      <w:lvlJc w:val="right"/>
      <w:pPr>
        <w:ind w:left="4030" w:hanging="480"/>
      </w:pPr>
    </w:lvl>
    <w:lvl w:ilvl="6">
      <w:start w:val="1"/>
      <w:numFmt w:val="decimal"/>
      <w:lvlText w:val="%1.%2.%3.%4.%5.%6.%7."/>
      <w:lvlJc w:val="left"/>
      <w:pPr>
        <w:ind w:left="4510" w:hanging="480"/>
      </w:pPr>
    </w:lvl>
    <w:lvl w:ilvl="7">
      <w:start w:val="1"/>
      <w:numFmt w:val="ideographTraditional"/>
      <w:lvlText w:val="%1.%2.%3.%4.%5.%6.%7.%8、"/>
      <w:lvlJc w:val="left"/>
      <w:pPr>
        <w:ind w:left="4990" w:hanging="480"/>
      </w:pPr>
    </w:lvl>
    <w:lvl w:ilvl="8">
      <w:start w:val="1"/>
      <w:numFmt w:val="lowerRoman"/>
      <w:lvlText w:val="%1.%2.%3.%4.%5.%6.%7.%8.%9."/>
      <w:lvlJc w:val="right"/>
      <w:pPr>
        <w:ind w:left="5470" w:hanging="480"/>
      </w:pPr>
    </w:lvl>
  </w:abstractNum>
  <w:abstractNum w:abstractNumId="8" w15:restartNumberingAfterBreak="0">
    <w:nsid w:val="517966CC"/>
    <w:multiLevelType w:val="multilevel"/>
    <w:tmpl w:val="D41E0104"/>
    <w:styleLink w:val="WWNum8"/>
    <w:lvl w:ilvl="0">
      <w:start w:val="1"/>
      <w:numFmt w:val="japaneseCounting"/>
      <w:lvlText w:val="（%1）"/>
      <w:lvlJc w:val="left"/>
      <w:pPr>
        <w:ind w:left="1870" w:hanging="720"/>
      </w:pPr>
    </w:lvl>
    <w:lvl w:ilvl="1">
      <w:start w:val="1"/>
      <w:numFmt w:val="ideographTraditional"/>
      <w:lvlText w:val="%1.%2、"/>
      <w:lvlJc w:val="left"/>
      <w:pPr>
        <w:ind w:left="2110" w:hanging="480"/>
      </w:pPr>
    </w:lvl>
    <w:lvl w:ilvl="2">
      <w:start w:val="1"/>
      <w:numFmt w:val="lowerRoman"/>
      <w:lvlText w:val="%1.%2.%3."/>
      <w:lvlJc w:val="right"/>
      <w:pPr>
        <w:ind w:left="2590" w:hanging="480"/>
      </w:pPr>
    </w:lvl>
    <w:lvl w:ilvl="3">
      <w:start w:val="1"/>
      <w:numFmt w:val="decimal"/>
      <w:lvlText w:val="%1.%2.%3.%4."/>
      <w:lvlJc w:val="left"/>
      <w:pPr>
        <w:ind w:left="3070" w:hanging="480"/>
      </w:pPr>
    </w:lvl>
    <w:lvl w:ilvl="4">
      <w:start w:val="1"/>
      <w:numFmt w:val="ideographTraditional"/>
      <w:lvlText w:val="%1.%2.%3.%4.%5、"/>
      <w:lvlJc w:val="left"/>
      <w:pPr>
        <w:ind w:left="3550" w:hanging="480"/>
      </w:pPr>
    </w:lvl>
    <w:lvl w:ilvl="5">
      <w:start w:val="1"/>
      <w:numFmt w:val="lowerRoman"/>
      <w:lvlText w:val="%1.%2.%3.%4.%5.%6."/>
      <w:lvlJc w:val="right"/>
      <w:pPr>
        <w:ind w:left="4030" w:hanging="480"/>
      </w:pPr>
    </w:lvl>
    <w:lvl w:ilvl="6">
      <w:start w:val="1"/>
      <w:numFmt w:val="decimal"/>
      <w:lvlText w:val="%1.%2.%3.%4.%5.%6.%7."/>
      <w:lvlJc w:val="left"/>
      <w:pPr>
        <w:ind w:left="4510" w:hanging="480"/>
      </w:pPr>
    </w:lvl>
    <w:lvl w:ilvl="7">
      <w:start w:val="1"/>
      <w:numFmt w:val="ideographTraditional"/>
      <w:lvlText w:val="%1.%2.%3.%4.%5.%6.%7.%8、"/>
      <w:lvlJc w:val="left"/>
      <w:pPr>
        <w:ind w:left="4990" w:hanging="480"/>
      </w:pPr>
    </w:lvl>
    <w:lvl w:ilvl="8">
      <w:start w:val="1"/>
      <w:numFmt w:val="lowerRoman"/>
      <w:lvlText w:val="%1.%2.%3.%4.%5.%6.%7.%8.%9."/>
      <w:lvlJc w:val="right"/>
      <w:pPr>
        <w:ind w:left="5470" w:hanging="480"/>
      </w:pPr>
    </w:lvl>
  </w:abstractNum>
  <w:abstractNum w:abstractNumId="9" w15:restartNumberingAfterBreak="0">
    <w:nsid w:val="61996D2D"/>
    <w:multiLevelType w:val="multilevel"/>
    <w:tmpl w:val="2DB26996"/>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0" w15:restartNumberingAfterBreak="0">
    <w:nsid w:val="760F5DDB"/>
    <w:multiLevelType w:val="multilevel"/>
    <w:tmpl w:val="C73A99BE"/>
    <w:styleLink w:val="WWNum7"/>
    <w:lvl w:ilvl="0">
      <w:start w:val="1"/>
      <w:numFmt w:val="japaneseCounting"/>
      <w:lvlText w:val="(%1)"/>
      <w:lvlJc w:val="left"/>
      <w:pPr>
        <w:ind w:left="1630" w:hanging="480"/>
      </w:pPr>
    </w:lvl>
    <w:lvl w:ilvl="1">
      <w:start w:val="1"/>
      <w:numFmt w:val="ideographTraditional"/>
      <w:lvlText w:val="%1.%2、"/>
      <w:lvlJc w:val="left"/>
      <w:pPr>
        <w:ind w:left="2110" w:hanging="480"/>
      </w:pPr>
    </w:lvl>
    <w:lvl w:ilvl="2">
      <w:start w:val="1"/>
      <w:numFmt w:val="lowerRoman"/>
      <w:lvlText w:val="%1.%2.%3."/>
      <w:lvlJc w:val="right"/>
      <w:pPr>
        <w:ind w:left="2590" w:hanging="480"/>
      </w:pPr>
    </w:lvl>
    <w:lvl w:ilvl="3">
      <w:start w:val="1"/>
      <w:numFmt w:val="decimal"/>
      <w:lvlText w:val="%1.%2.%3.%4."/>
      <w:lvlJc w:val="left"/>
      <w:pPr>
        <w:ind w:left="3070" w:hanging="480"/>
      </w:pPr>
    </w:lvl>
    <w:lvl w:ilvl="4">
      <w:start w:val="1"/>
      <w:numFmt w:val="ideographTraditional"/>
      <w:lvlText w:val="%1.%2.%3.%4.%5、"/>
      <w:lvlJc w:val="left"/>
      <w:pPr>
        <w:ind w:left="3550" w:hanging="480"/>
      </w:pPr>
    </w:lvl>
    <w:lvl w:ilvl="5">
      <w:start w:val="1"/>
      <w:numFmt w:val="lowerRoman"/>
      <w:lvlText w:val="%1.%2.%3.%4.%5.%6."/>
      <w:lvlJc w:val="right"/>
      <w:pPr>
        <w:ind w:left="4030" w:hanging="480"/>
      </w:pPr>
    </w:lvl>
    <w:lvl w:ilvl="6">
      <w:start w:val="1"/>
      <w:numFmt w:val="decimal"/>
      <w:lvlText w:val="%1.%2.%3.%4.%5.%6.%7."/>
      <w:lvlJc w:val="left"/>
      <w:pPr>
        <w:ind w:left="4510" w:hanging="480"/>
      </w:pPr>
    </w:lvl>
    <w:lvl w:ilvl="7">
      <w:start w:val="1"/>
      <w:numFmt w:val="ideographTraditional"/>
      <w:lvlText w:val="%1.%2.%3.%4.%5.%6.%7.%8、"/>
      <w:lvlJc w:val="left"/>
      <w:pPr>
        <w:ind w:left="4990" w:hanging="480"/>
      </w:pPr>
    </w:lvl>
    <w:lvl w:ilvl="8">
      <w:start w:val="1"/>
      <w:numFmt w:val="lowerRoman"/>
      <w:lvlText w:val="%1.%2.%3.%4.%5.%6.%7.%8.%9."/>
      <w:lvlJc w:val="right"/>
      <w:pPr>
        <w:ind w:left="5470" w:hanging="480"/>
      </w:pPr>
    </w:lvl>
  </w:abstractNum>
  <w:num w:numId="1">
    <w:abstractNumId w:val="9"/>
  </w:num>
  <w:num w:numId="2">
    <w:abstractNumId w:val="3"/>
  </w:num>
  <w:num w:numId="3">
    <w:abstractNumId w:val="0"/>
  </w:num>
  <w:num w:numId="4">
    <w:abstractNumId w:val="1"/>
  </w:num>
  <w:num w:numId="5">
    <w:abstractNumId w:val="6"/>
  </w:num>
  <w:num w:numId="6">
    <w:abstractNumId w:val="5"/>
  </w:num>
  <w:num w:numId="7">
    <w:abstractNumId w:val="2"/>
  </w:num>
  <w:num w:numId="8">
    <w:abstractNumId w:val="10"/>
  </w:num>
  <w:num w:numId="9">
    <w:abstractNumId w:val="8"/>
  </w:num>
  <w:num w:numId="10">
    <w:abstractNumId w:val="4"/>
  </w:num>
  <w:num w:numId="11">
    <w:abstractNumId w:val="7"/>
  </w:num>
  <w:num w:numId="12">
    <w:abstractNumId w:val="10"/>
    <w:lvlOverride w:ilvl="0">
      <w:startOverride w:val="1"/>
    </w:lvlOverride>
  </w:num>
  <w:num w:numId="13">
    <w:abstractNumId w:val="4"/>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A7260C"/>
    <w:rsid w:val="00121F4B"/>
    <w:rsid w:val="00A349A2"/>
    <w:rsid w:val="00A726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CE45E-7D40-411F-894E-29E3744B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標楷體" w:eastAsia="標楷體" w:hAnsi="標楷體" w:cs="標楷體"/>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陳珮萱</dc:creator>
  <cp:lastModifiedBy>User</cp:lastModifiedBy>
  <cp:revision>2</cp:revision>
  <dcterms:created xsi:type="dcterms:W3CDTF">2024-02-26T04:39:00Z</dcterms:created>
  <dcterms:modified xsi:type="dcterms:W3CDTF">2024-02-26T04:39:00Z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